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40" w:rsidRPr="009E2A6C" w:rsidRDefault="00570840" w:rsidP="00570840">
      <w:pPr>
        <w:spacing w:line="480" w:lineRule="exact"/>
        <w:ind w:leftChars="-118" w:left="-248" w:rightChars="-159" w:right="-334"/>
        <w:jc w:val="center"/>
        <w:rPr>
          <w:rFonts w:ascii="標楷體" w:eastAsia="標楷體" w:hAnsi="標楷體"/>
          <w:b/>
          <w:color w:val="000000"/>
          <w:sz w:val="32"/>
          <w:szCs w:val="32"/>
        </w:rPr>
      </w:pPr>
      <w:bookmarkStart w:id="0" w:name="_GoBack"/>
      <w:bookmarkEnd w:id="0"/>
      <w:r w:rsidRPr="009E2A6C">
        <w:rPr>
          <w:rFonts w:ascii="標楷體" w:eastAsia="標楷體" w:hAnsi="標楷體"/>
          <w:b/>
          <w:color w:val="000000"/>
          <w:sz w:val="32"/>
          <w:szCs w:val="32"/>
        </w:rPr>
        <w:t>2017年中國文化大學日本語文學系國際學術研討會</w:t>
      </w:r>
    </w:p>
    <w:p w:rsidR="00570840" w:rsidRPr="009E2A6C" w:rsidRDefault="00570840" w:rsidP="00570840">
      <w:pPr>
        <w:spacing w:line="480" w:lineRule="exact"/>
        <w:ind w:leftChars="-472" w:left="-991" w:rightChars="-395" w:right="-829"/>
        <w:jc w:val="center"/>
        <w:rPr>
          <w:rFonts w:ascii="標楷體" w:eastAsia="標楷體" w:hAnsi="標楷體"/>
          <w:b/>
          <w:color w:val="000000"/>
          <w:sz w:val="29"/>
          <w:szCs w:val="29"/>
        </w:rPr>
      </w:pPr>
      <w:r w:rsidRPr="009E2A6C">
        <w:rPr>
          <w:rFonts w:ascii="標楷體" w:eastAsia="標楷體" w:hAnsi="標楷體"/>
          <w:b/>
          <w:color w:val="000000"/>
          <w:sz w:val="29"/>
          <w:szCs w:val="29"/>
        </w:rPr>
        <w:t>日本相關研究與教育</w:t>
      </w:r>
    </w:p>
    <w:p w:rsidR="00570840" w:rsidRPr="009E2A6C" w:rsidRDefault="00570840" w:rsidP="00570840">
      <w:pPr>
        <w:spacing w:line="480" w:lineRule="exact"/>
        <w:ind w:leftChars="-472" w:left="-991" w:rightChars="-395" w:right="-829"/>
        <w:jc w:val="center"/>
        <w:rPr>
          <w:rFonts w:ascii="標楷體" w:eastAsia="標楷體" w:hAnsi="標楷體"/>
          <w:b/>
          <w:color w:val="000000"/>
          <w:sz w:val="29"/>
          <w:szCs w:val="29"/>
        </w:rPr>
      </w:pPr>
      <w:r w:rsidRPr="009E2A6C">
        <w:rPr>
          <w:rFonts w:ascii="標楷體" w:eastAsia="標楷體" w:hAnsi="標楷體"/>
          <w:b/>
          <w:color w:val="000000"/>
          <w:sz w:val="29"/>
          <w:szCs w:val="29"/>
        </w:rPr>
        <w:t>―文學／語言之多樣性與多元性以及情報分析與異文化接觸―</w:t>
      </w:r>
    </w:p>
    <w:p w:rsidR="00A76C4C" w:rsidRPr="009E2A6C" w:rsidRDefault="005A6916">
      <w:pPr>
        <w:rPr>
          <w:rFonts w:ascii="標楷體" w:eastAsia="標楷體" w:hAnsi="標楷體"/>
          <w:b/>
        </w:rPr>
      </w:pPr>
    </w:p>
    <w:p w:rsidR="00570840" w:rsidRPr="009E2A6C" w:rsidRDefault="00570840" w:rsidP="00570840">
      <w:pPr>
        <w:jc w:val="center"/>
        <w:rPr>
          <w:rFonts w:ascii="標楷體" w:eastAsia="標楷體" w:hAnsi="標楷體"/>
          <w:b/>
          <w:color w:val="000000"/>
          <w:sz w:val="29"/>
          <w:szCs w:val="29"/>
        </w:rPr>
      </w:pPr>
      <w:r w:rsidRPr="009E2A6C">
        <w:rPr>
          <w:rFonts w:ascii="標楷體" w:eastAsia="標楷體" w:hAnsi="標楷體" w:hint="eastAsia"/>
          <w:b/>
          <w:color w:val="000000"/>
          <w:sz w:val="29"/>
          <w:szCs w:val="29"/>
        </w:rPr>
        <w:t>大</w:t>
      </w:r>
      <w:r w:rsidRPr="009E2A6C">
        <w:rPr>
          <w:rFonts w:ascii="標楷體" w:eastAsia="標楷體" w:hAnsi="標楷體" w:hint="eastAsia"/>
          <w:b/>
          <w:color w:val="000000"/>
          <w:sz w:val="29"/>
          <w:szCs w:val="29"/>
          <w:lang w:eastAsia="zh-TW"/>
        </w:rPr>
        <w:t xml:space="preserve"> </w:t>
      </w:r>
      <w:r w:rsidRPr="009E2A6C">
        <w:rPr>
          <w:rFonts w:ascii="標楷體" w:eastAsia="標楷體" w:hAnsi="標楷體" w:hint="eastAsia"/>
          <w:b/>
          <w:color w:val="000000"/>
          <w:sz w:val="29"/>
          <w:szCs w:val="29"/>
        </w:rPr>
        <w:t>會</w:t>
      </w:r>
      <w:r w:rsidRPr="009E2A6C">
        <w:rPr>
          <w:rFonts w:ascii="標楷體" w:eastAsia="標楷體" w:hAnsi="標楷體" w:hint="eastAsia"/>
          <w:b/>
          <w:color w:val="000000"/>
          <w:sz w:val="29"/>
          <w:szCs w:val="29"/>
          <w:lang w:eastAsia="zh-TW"/>
        </w:rPr>
        <w:t xml:space="preserve"> </w:t>
      </w:r>
      <w:r w:rsidRPr="009E2A6C">
        <w:rPr>
          <w:rFonts w:ascii="標楷體" w:eastAsia="標楷體" w:hAnsi="標楷體" w:hint="eastAsia"/>
          <w:b/>
          <w:color w:val="000000"/>
          <w:sz w:val="29"/>
          <w:szCs w:val="29"/>
        </w:rPr>
        <w:t>介</w:t>
      </w:r>
      <w:r w:rsidRPr="009E2A6C">
        <w:rPr>
          <w:rFonts w:ascii="標楷體" w:eastAsia="標楷體" w:hAnsi="標楷體" w:hint="eastAsia"/>
          <w:b/>
          <w:color w:val="000000"/>
          <w:sz w:val="29"/>
          <w:szCs w:val="29"/>
          <w:lang w:eastAsia="zh-TW"/>
        </w:rPr>
        <w:t xml:space="preserve"> </w:t>
      </w:r>
      <w:r w:rsidRPr="009E2A6C">
        <w:rPr>
          <w:rFonts w:ascii="標楷體" w:eastAsia="標楷體" w:hAnsi="標楷體" w:hint="eastAsia"/>
          <w:b/>
          <w:color w:val="000000"/>
          <w:sz w:val="29"/>
          <w:szCs w:val="29"/>
        </w:rPr>
        <w:t>紹</w:t>
      </w:r>
    </w:p>
    <w:p w:rsidR="00570840" w:rsidRPr="00570840" w:rsidRDefault="00570840">
      <w:pPr>
        <w:rPr>
          <w:rFonts w:ascii="標楷體" w:eastAsia="標楷體" w:hAnsi="標楷體"/>
        </w:rPr>
      </w:pP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t>【</w:t>
      </w:r>
      <w:r w:rsidRPr="00570840">
        <w:rPr>
          <w:rFonts w:ascii="標楷體" w:eastAsia="標楷體" w:hAnsi="標楷體" w:hint="eastAsia"/>
          <w:b/>
          <w:sz w:val="25"/>
          <w:szCs w:val="25"/>
          <w:lang w:eastAsia="zh-TW"/>
        </w:rPr>
        <w:t>宗旨</w:t>
      </w:r>
      <w:r w:rsidRPr="00570840">
        <w:rPr>
          <w:rFonts w:ascii="標楷體" w:eastAsia="標楷體" w:hAnsi="標楷體"/>
          <w:b/>
          <w:sz w:val="25"/>
          <w:szCs w:val="25"/>
        </w:rPr>
        <w:t>】</w:t>
      </w:r>
    </w:p>
    <w:p w:rsidR="00570840" w:rsidRPr="00570840" w:rsidRDefault="00570840" w:rsidP="00570840">
      <w:pPr>
        <w:rPr>
          <w:rFonts w:ascii="標楷體" w:eastAsia="標楷體" w:hAnsi="標楷體"/>
          <w:sz w:val="25"/>
          <w:szCs w:val="25"/>
        </w:rPr>
      </w:pPr>
      <w:r w:rsidRPr="00570840">
        <w:rPr>
          <w:rFonts w:ascii="標楷體" w:eastAsia="標楷體" w:hAnsi="標楷體"/>
          <w:sz w:val="25"/>
          <w:szCs w:val="25"/>
        </w:rPr>
        <w:t xml:space="preserve">    已開發國家的少子化現象現已成為各國共同面對的課題，中華民國（台灣）的少子化現象亦十分嚴峻。近年台灣面臨大學考試人口驟減期，在日語教育領域中，於高等教育機關學習日文之人數亦有日趨減少之傾向。在此狀況下，以日語進行日本相關研究與日語教育的大學機關逐漸拓展視角，以文學與語言為主其研究對象與教學</w:t>
      </w:r>
      <w:r w:rsidRPr="00570840">
        <w:rPr>
          <w:rFonts w:ascii="標楷體" w:eastAsia="標楷體" w:hAnsi="標楷體" w:cs="微軟正黑體" w:hint="eastAsia"/>
          <w:sz w:val="25"/>
          <w:szCs w:val="25"/>
        </w:rPr>
        <w:t>內</w:t>
      </w:r>
      <w:r w:rsidRPr="00570840">
        <w:rPr>
          <w:rFonts w:ascii="標楷體" w:eastAsia="標楷體" w:hAnsi="標楷體" w:cs="MS Mincho" w:hint="eastAsia"/>
          <w:sz w:val="25"/>
          <w:szCs w:val="25"/>
        </w:rPr>
        <w:t>容漸趨多元與多樣，亦衍生了多元化教學評量之重視。</w:t>
      </w:r>
    </w:p>
    <w:p w:rsidR="00570840" w:rsidRPr="00570840" w:rsidRDefault="00570840" w:rsidP="00570840">
      <w:pPr>
        <w:rPr>
          <w:rFonts w:ascii="標楷體" w:eastAsia="標楷體" w:hAnsi="標楷體"/>
          <w:sz w:val="25"/>
          <w:szCs w:val="25"/>
        </w:rPr>
      </w:pPr>
      <w:r w:rsidRPr="00570840">
        <w:rPr>
          <w:rFonts w:ascii="標楷體" w:eastAsia="標楷體" w:hAnsi="標楷體"/>
          <w:sz w:val="25"/>
          <w:szCs w:val="25"/>
        </w:rPr>
        <w:t xml:space="preserve">    另外，近年被稱為「數位世代」的新世代學子也將進入大學就讀。有鑑於此世代將成為往後大學教育的主要對象，日本相關研究與日語教育者今後應意識到活用情報通訊技術之必須，同時也應具備情報分析等識讀教育之能力。再者，近年在教育場域中強調教師之職責不只在教學，亦應呼籲學生的自主學習。在此前提下，往後課堂學習的活動設計之重點亦可能以異文化接觸之觀點為主軸延伸發展。</w:t>
      </w:r>
    </w:p>
    <w:p w:rsidR="00570840" w:rsidRPr="00570840" w:rsidRDefault="00570840" w:rsidP="00570840">
      <w:pPr>
        <w:rPr>
          <w:rFonts w:ascii="標楷體" w:eastAsia="標楷體" w:hAnsi="標楷體"/>
          <w:sz w:val="25"/>
          <w:szCs w:val="25"/>
        </w:rPr>
      </w:pPr>
      <w:r w:rsidRPr="00570840">
        <w:rPr>
          <w:rFonts w:ascii="標楷體" w:eastAsia="標楷體" w:hAnsi="標楷體"/>
          <w:sz w:val="25"/>
          <w:szCs w:val="25"/>
        </w:rPr>
        <w:t xml:space="preserve">    以上述問題意識為前提，本次研討會將主題設定為「文學／語言之多樣性與多元性以及情報分析與異文化接觸」，希冀跳</w:t>
      </w:r>
      <w:r w:rsidRPr="00570840">
        <w:rPr>
          <w:rFonts w:ascii="標楷體" w:eastAsia="標楷體" w:hAnsi="標楷體" w:cs="微軟正黑體" w:hint="eastAsia"/>
          <w:sz w:val="25"/>
          <w:szCs w:val="25"/>
        </w:rPr>
        <w:t>脫</w:t>
      </w:r>
      <w:r w:rsidRPr="00570840">
        <w:rPr>
          <w:rFonts w:ascii="標楷體" w:eastAsia="標楷體" w:hAnsi="標楷體" w:cs="MS Mincho" w:hint="eastAsia"/>
          <w:sz w:val="25"/>
          <w:szCs w:val="25"/>
        </w:rPr>
        <w:t>以往舊有之日語教育亦或是文化領域，開拓更有展望性的研究與教育研究。期待藉</w:t>
      </w:r>
      <w:r w:rsidRPr="00570840">
        <w:rPr>
          <w:rFonts w:ascii="標楷體" w:eastAsia="標楷體" w:hAnsi="標楷體"/>
          <w:sz w:val="25"/>
          <w:szCs w:val="25"/>
        </w:rPr>
        <w:t>由此主題聚集更多元視野的研究發表者，進行更為有深度與廣度的議論。</w:t>
      </w: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t>【日程】</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2017年5月27日（土）</w:t>
      </w:r>
      <w:r w:rsidRPr="00570840">
        <w:rPr>
          <w:rFonts w:ascii="標楷體" w:eastAsia="標楷體" w:hAnsi="標楷體" w:cs="微軟正黑體" w:hint="eastAsia"/>
          <w:sz w:val="25"/>
          <w:szCs w:val="25"/>
          <w:lang w:eastAsia="zh-TW"/>
        </w:rPr>
        <w:t>上午</w:t>
      </w:r>
      <w:r w:rsidRPr="00570840">
        <w:rPr>
          <w:rFonts w:ascii="標楷體" w:eastAsia="標楷體" w:hAnsi="標楷體"/>
          <w:sz w:val="25"/>
          <w:szCs w:val="25"/>
        </w:rPr>
        <w:t>08：15～</w:t>
      </w:r>
      <w:r w:rsidRPr="00570840">
        <w:rPr>
          <w:rFonts w:ascii="標楷體" w:eastAsia="標楷體" w:hAnsi="標楷體" w:cs="微軟正黑體" w:hint="eastAsia"/>
          <w:sz w:val="25"/>
          <w:szCs w:val="25"/>
          <w:lang w:eastAsia="zh-TW"/>
        </w:rPr>
        <w:t>下午</w:t>
      </w:r>
      <w:r w:rsidRPr="00570840">
        <w:rPr>
          <w:rFonts w:ascii="標楷體" w:eastAsia="標楷體" w:hAnsi="標楷體"/>
          <w:sz w:val="25"/>
          <w:szCs w:val="25"/>
        </w:rPr>
        <w:t>16：45（</w:t>
      </w:r>
      <w:r w:rsidRPr="00570840">
        <w:rPr>
          <w:rFonts w:ascii="標楷體" w:eastAsia="標楷體" w:hAnsi="標楷體" w:cs="微軟正黑體" w:hint="eastAsia"/>
          <w:sz w:val="25"/>
          <w:szCs w:val="25"/>
          <w:lang w:eastAsia="zh-TW"/>
        </w:rPr>
        <w:t>暫定</w:t>
      </w:r>
      <w:r w:rsidRPr="00570840">
        <w:rPr>
          <w:rFonts w:ascii="標楷體" w:eastAsia="標楷體" w:hAnsi="標楷體"/>
          <w:sz w:val="25"/>
          <w:szCs w:val="25"/>
        </w:rPr>
        <w:t>）</w:t>
      </w: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會場</w:t>
      </w:r>
      <w:r w:rsidRPr="00570840">
        <w:rPr>
          <w:rFonts w:ascii="標楷體" w:eastAsia="標楷體" w:hAnsi="標楷體"/>
          <w:b/>
          <w:sz w:val="25"/>
          <w:szCs w:val="25"/>
        </w:rPr>
        <w:t>】</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中國文化大學陽明山本部校區　曉峯國際會議廰</w:t>
      </w: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sz w:val="25"/>
          <w:szCs w:val="25"/>
        </w:rPr>
      </w:pPr>
      <w:r w:rsidRPr="00570840">
        <w:rPr>
          <w:rFonts w:ascii="標楷體" w:eastAsia="標楷體" w:hAnsi="標楷體"/>
          <w:b/>
          <w:sz w:val="25"/>
          <w:szCs w:val="25"/>
        </w:rPr>
        <w:t>【交通</w:t>
      </w:r>
      <w:r w:rsidRPr="00570840">
        <w:rPr>
          <w:rFonts w:ascii="標楷體" w:eastAsia="標楷體" w:hAnsi="標楷體" w:cs="微軟正黑體" w:hint="eastAsia"/>
          <w:b/>
          <w:sz w:val="25"/>
          <w:szCs w:val="25"/>
          <w:lang w:eastAsia="zh-TW"/>
        </w:rPr>
        <w:t>方式</w:t>
      </w: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請參照以下網址</w:t>
      </w:r>
      <w:r w:rsidRPr="00570840">
        <w:rPr>
          <w:rFonts w:ascii="標楷體" w:eastAsia="標楷體" w:hAnsi="標楷體"/>
          <w:sz w:val="25"/>
          <w:szCs w:val="25"/>
        </w:rPr>
        <w:t>：</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http://www.pccu.edu.tw/intro_traffic.html</w:t>
      </w:r>
    </w:p>
    <w:p w:rsidR="00570840" w:rsidRPr="00570840" w:rsidRDefault="00570840" w:rsidP="00570840">
      <w:pPr>
        <w:jc w:val="left"/>
        <w:rPr>
          <w:rFonts w:ascii="標楷體" w:hAnsi="標楷體"/>
          <w:b/>
          <w:sz w:val="25"/>
          <w:szCs w:val="25"/>
        </w:rPr>
      </w:pP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lastRenderedPageBreak/>
        <w:t>【基調講演】</w:t>
      </w: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t>（日本）</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cs="微軟正黑體" w:hint="eastAsia"/>
          <w:sz w:val="25"/>
          <w:szCs w:val="25"/>
          <w:lang w:eastAsia="zh-TW"/>
        </w:rPr>
        <w:t>講者</w:t>
      </w:r>
      <w:r w:rsidRPr="00570840">
        <w:rPr>
          <w:rFonts w:ascii="標楷體" w:eastAsia="標楷體" w:hAnsi="標楷體"/>
          <w:sz w:val="25"/>
          <w:szCs w:val="25"/>
        </w:rPr>
        <w:t>：米村みゆき　教授</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所</w:t>
      </w:r>
      <w:r w:rsidRPr="00570840">
        <w:rPr>
          <w:rFonts w:ascii="標楷體" w:eastAsia="標楷體" w:hAnsi="標楷體" w:cs="微軟正黑體" w:hint="eastAsia"/>
          <w:sz w:val="25"/>
          <w:szCs w:val="25"/>
          <w:lang w:eastAsia="zh-TW"/>
        </w:rPr>
        <w:t>屬</w:t>
      </w:r>
      <w:r w:rsidRPr="00570840">
        <w:rPr>
          <w:rFonts w:ascii="標楷體" w:eastAsia="標楷體" w:hAnsi="標楷體"/>
          <w:sz w:val="25"/>
          <w:szCs w:val="25"/>
        </w:rPr>
        <w:t>：日本專修大學文學部日本文學文化學科</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題目：「宮崎駿のアニメーション映画におけるリテラシー」</w:t>
      </w:r>
    </w:p>
    <w:p w:rsidR="00570840" w:rsidRPr="00570840" w:rsidRDefault="00570840" w:rsidP="00570840">
      <w:pPr>
        <w:spacing w:beforeLines="50" w:before="180"/>
        <w:jc w:val="left"/>
        <w:rPr>
          <w:rFonts w:ascii="標楷體" w:eastAsia="標楷體" w:hAnsi="標楷體"/>
          <w:b/>
          <w:sz w:val="25"/>
          <w:szCs w:val="25"/>
        </w:rPr>
      </w:pPr>
      <w:r w:rsidRPr="00570840">
        <w:rPr>
          <w:rFonts w:ascii="標楷體" w:eastAsia="標楷體" w:hAnsi="標楷體"/>
          <w:b/>
          <w:sz w:val="25"/>
          <w:szCs w:val="25"/>
        </w:rPr>
        <w:t>（韓国）</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講</w:t>
      </w:r>
      <w:r w:rsidRPr="00570840">
        <w:rPr>
          <w:rFonts w:ascii="標楷體" w:eastAsia="標楷體" w:hAnsi="標楷體" w:cs="微軟正黑體" w:hint="eastAsia"/>
          <w:sz w:val="25"/>
          <w:szCs w:val="25"/>
          <w:lang w:eastAsia="zh-TW"/>
        </w:rPr>
        <w:t>者</w:t>
      </w:r>
      <w:r w:rsidRPr="00570840">
        <w:rPr>
          <w:rFonts w:ascii="標楷體" w:eastAsia="標楷體" w:hAnsi="標楷體"/>
          <w:sz w:val="25"/>
          <w:szCs w:val="25"/>
        </w:rPr>
        <w:t>：金貞禮　教授</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所</w:t>
      </w:r>
      <w:r w:rsidRPr="00570840">
        <w:rPr>
          <w:rFonts w:ascii="標楷體" w:eastAsia="標楷體" w:hAnsi="標楷體" w:cs="微軟正黑體" w:hint="eastAsia"/>
          <w:sz w:val="25"/>
          <w:szCs w:val="25"/>
          <w:lang w:eastAsia="zh-TW"/>
        </w:rPr>
        <w:t>屬</w:t>
      </w:r>
      <w:r w:rsidRPr="00570840">
        <w:rPr>
          <w:rFonts w:ascii="標楷體" w:eastAsia="標楷體" w:hAnsi="標楷體"/>
          <w:sz w:val="25"/>
          <w:szCs w:val="25"/>
        </w:rPr>
        <w:t>：韓國全南大學校人文大學日語日文學科</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題目：「韓国における俳句の受容と享受の様相―俳句的視線の発見と比較文化論的アプローチ―」</w:t>
      </w:r>
    </w:p>
    <w:p w:rsid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sz w:val="25"/>
          <w:szCs w:val="25"/>
        </w:rPr>
      </w:pP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學術發表</w:t>
      </w: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以</w:t>
      </w:r>
      <w:r w:rsidRPr="00570840">
        <w:rPr>
          <w:rFonts w:ascii="標楷體" w:eastAsia="標楷體" w:hAnsi="標楷體"/>
          <w:sz w:val="25"/>
          <w:szCs w:val="25"/>
        </w:rPr>
        <w:t>口頭</w:t>
      </w:r>
      <w:r w:rsidRPr="00570840">
        <w:rPr>
          <w:rFonts w:ascii="標楷體" w:eastAsia="標楷體" w:hAnsi="標楷體" w:cs="微軟正黑體" w:hint="eastAsia"/>
          <w:sz w:val="25"/>
          <w:szCs w:val="25"/>
          <w:lang w:eastAsia="zh-TW"/>
        </w:rPr>
        <w:t>發</w:t>
      </w:r>
      <w:r w:rsidRPr="00570840">
        <w:rPr>
          <w:rFonts w:ascii="標楷體" w:eastAsia="標楷體" w:hAnsi="標楷體"/>
          <w:sz w:val="25"/>
          <w:szCs w:val="25"/>
        </w:rPr>
        <w:t>表</w:t>
      </w:r>
      <w:r w:rsidRPr="00570840">
        <w:rPr>
          <w:rFonts w:ascii="標楷體" w:eastAsia="標楷體" w:hAnsi="標楷體" w:cs="微軟正黑體" w:hint="eastAsia"/>
          <w:sz w:val="25"/>
          <w:szCs w:val="25"/>
          <w:lang w:eastAsia="zh-TW"/>
        </w:rPr>
        <w:t>方式進行，共計</w:t>
      </w:r>
      <w:r w:rsidRPr="00570840">
        <w:rPr>
          <w:rFonts w:ascii="標楷體" w:eastAsia="標楷體" w:hAnsi="標楷體"/>
          <w:sz w:val="25"/>
          <w:szCs w:val="25"/>
        </w:rPr>
        <w:t>24</w:t>
      </w:r>
      <w:r w:rsidRPr="00570840">
        <w:rPr>
          <w:rFonts w:ascii="標楷體" w:eastAsia="標楷體" w:hAnsi="標楷體" w:cs="微軟正黑體" w:hint="eastAsia"/>
          <w:sz w:val="25"/>
          <w:szCs w:val="25"/>
          <w:lang w:eastAsia="zh-TW"/>
        </w:rPr>
        <w:t>篇。</w:t>
      </w:r>
    </w:p>
    <w:p w:rsid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sz w:val="25"/>
          <w:szCs w:val="25"/>
        </w:rPr>
      </w:pP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聆聽報名</w:t>
      </w: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預定</w:t>
      </w:r>
      <w:r w:rsidRPr="00570840">
        <w:rPr>
          <w:rFonts w:ascii="標楷體" w:eastAsia="標楷體" w:hAnsi="標楷體"/>
          <w:sz w:val="25"/>
          <w:szCs w:val="25"/>
        </w:rPr>
        <w:t>2017年4月1日（土）～2017年5月20日（土）</w:t>
      </w:r>
      <w:r w:rsidRPr="00570840">
        <w:rPr>
          <w:rFonts w:ascii="標楷體" w:eastAsia="標楷體" w:hAnsi="標楷體" w:cs="微軟正黑體" w:hint="eastAsia"/>
          <w:sz w:val="25"/>
          <w:szCs w:val="25"/>
          <w:lang w:eastAsia="zh-TW"/>
        </w:rPr>
        <w:t>受理報名</w:t>
      </w:r>
    </w:p>
    <w:p w:rsid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sz w:val="25"/>
          <w:szCs w:val="25"/>
        </w:rPr>
      </w:pP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網址</w:t>
      </w:r>
      <w:r w:rsidRPr="00570840">
        <w:rPr>
          <w:rFonts w:ascii="標楷體" w:eastAsia="標楷體" w:hAnsi="標楷體"/>
          <w:b/>
          <w:sz w:val="25"/>
          <w:szCs w:val="25"/>
        </w:rPr>
        <w:t>】</w:t>
      </w:r>
      <w:r w:rsidRPr="00570840">
        <w:rPr>
          <w:rFonts w:ascii="標楷體" w:eastAsia="標楷體" w:hAnsi="標楷體"/>
          <w:sz w:val="25"/>
          <w:szCs w:val="25"/>
        </w:rPr>
        <w:t>http://japanese.pccu.edu.tw/bin/home.php</w:t>
      </w:r>
    </w:p>
    <w:p w:rsidR="00570840" w:rsidRDefault="00570840" w:rsidP="00570840">
      <w:pPr>
        <w:jc w:val="left"/>
        <w:rPr>
          <w:rFonts w:ascii="標楷體" w:hAnsi="標楷體"/>
          <w:sz w:val="25"/>
          <w:szCs w:val="25"/>
        </w:rPr>
      </w:pPr>
    </w:p>
    <w:p w:rsidR="00570840" w:rsidRPr="00570840" w:rsidRDefault="00570840" w:rsidP="00570840">
      <w:pPr>
        <w:jc w:val="left"/>
        <w:rPr>
          <w:rFonts w:ascii="標楷體" w:hAnsi="標楷體"/>
          <w:sz w:val="25"/>
          <w:szCs w:val="25"/>
        </w:rPr>
      </w:pPr>
    </w:p>
    <w:p w:rsidR="00570840" w:rsidRPr="00570840" w:rsidRDefault="00570840" w:rsidP="00570840">
      <w:pPr>
        <w:jc w:val="left"/>
        <w:rPr>
          <w:rFonts w:ascii="標楷體" w:eastAsia="標楷體" w:hAnsi="標楷體"/>
          <w:b/>
          <w:sz w:val="25"/>
          <w:szCs w:val="25"/>
        </w:rPr>
      </w:pPr>
      <w:r w:rsidRPr="00570840">
        <w:rPr>
          <w:rFonts w:ascii="標楷體" w:eastAsia="標楷體" w:hAnsi="標楷體"/>
          <w:b/>
          <w:sz w:val="25"/>
          <w:szCs w:val="25"/>
        </w:rPr>
        <w:t>【</w:t>
      </w:r>
      <w:r w:rsidRPr="00570840">
        <w:rPr>
          <w:rFonts w:ascii="標楷體" w:eastAsia="標楷體" w:hAnsi="標楷體" w:cs="微軟正黑體" w:hint="eastAsia"/>
          <w:b/>
          <w:sz w:val="25"/>
          <w:szCs w:val="25"/>
          <w:lang w:eastAsia="zh-TW"/>
        </w:rPr>
        <w:t>聯絡單位</w:t>
      </w:r>
      <w:r w:rsidRPr="00570840">
        <w:rPr>
          <w:rFonts w:ascii="標楷體" w:eastAsia="標楷體" w:hAnsi="標楷體"/>
          <w:b/>
          <w:sz w:val="25"/>
          <w:szCs w:val="25"/>
        </w:rPr>
        <w:t>】</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〒11114中華民國（臺灣）</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台北市陽明山華岡路55號　中國文化大學日本語文學系</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TEL：02－2861－0511内線23205　　FAX：02－2862－3155</w:t>
      </w:r>
    </w:p>
    <w:p w:rsidR="00570840" w:rsidRPr="00570840" w:rsidRDefault="00570840" w:rsidP="00570840">
      <w:pPr>
        <w:rPr>
          <w:rFonts w:ascii="標楷體" w:eastAsia="標楷體" w:hAnsi="標楷體"/>
          <w:sz w:val="25"/>
          <w:szCs w:val="25"/>
        </w:rPr>
      </w:pPr>
      <w:r w:rsidRPr="00570840">
        <w:rPr>
          <w:rFonts w:ascii="標楷體" w:eastAsia="標楷體" w:hAnsi="標楷體"/>
          <w:sz w:val="25"/>
          <w:szCs w:val="25"/>
        </w:rPr>
        <w:t>E-mail：</w:t>
      </w:r>
      <w:hyperlink r:id="rId5" w:history="1">
        <w:r w:rsidRPr="00570840">
          <w:rPr>
            <w:rFonts w:ascii="標楷體" w:eastAsia="標楷體" w:hAnsi="標楷體"/>
            <w:sz w:val="25"/>
            <w:szCs w:val="25"/>
          </w:rPr>
          <w:t>mps6279@yahoo.co.jp</w:t>
        </w:r>
      </w:hyperlink>
      <w:r w:rsidRPr="00570840">
        <w:rPr>
          <w:rFonts w:ascii="標楷體" w:eastAsia="標楷體" w:hAnsi="標楷體"/>
          <w:sz w:val="25"/>
          <w:szCs w:val="25"/>
        </w:rPr>
        <w:t>［事務統括　齋藤正志］</w:t>
      </w:r>
    </w:p>
    <w:p w:rsidR="00570840" w:rsidRPr="00570840" w:rsidRDefault="00570840" w:rsidP="00570840">
      <w:pPr>
        <w:rPr>
          <w:rFonts w:ascii="標楷體" w:eastAsia="標楷體" w:hAnsi="標楷體"/>
          <w:sz w:val="25"/>
          <w:szCs w:val="25"/>
        </w:rPr>
      </w:pPr>
      <w:r w:rsidRPr="00570840">
        <w:rPr>
          <w:rFonts w:ascii="標楷體" w:eastAsia="標楷體" w:hAnsi="標楷體"/>
          <w:sz w:val="25"/>
          <w:szCs w:val="25"/>
        </w:rPr>
        <w:t>E-mail：</w:t>
      </w:r>
      <w:hyperlink r:id="rId6" w:history="1">
        <w:r w:rsidRPr="00570840">
          <w:rPr>
            <w:rFonts w:ascii="標楷體" w:eastAsia="標楷體" w:hAnsi="標楷體"/>
            <w:sz w:val="25"/>
            <w:szCs w:val="25"/>
          </w:rPr>
          <w:t>m6279.msaito@msa.hinet.net</w:t>
        </w:r>
      </w:hyperlink>
      <w:r w:rsidRPr="00570840">
        <w:rPr>
          <w:rFonts w:ascii="標楷體" w:eastAsia="標楷體" w:hAnsi="標楷體"/>
          <w:sz w:val="25"/>
          <w:szCs w:val="25"/>
        </w:rPr>
        <w:t>［事務統括　齋藤正志］</w:t>
      </w:r>
    </w:p>
    <w:p w:rsidR="00570840" w:rsidRPr="00570840" w:rsidRDefault="00570840" w:rsidP="00570840">
      <w:pPr>
        <w:jc w:val="left"/>
        <w:rPr>
          <w:rFonts w:ascii="標楷體" w:eastAsia="標楷體" w:hAnsi="標楷體"/>
          <w:sz w:val="25"/>
          <w:szCs w:val="25"/>
        </w:rPr>
      </w:pPr>
      <w:r w:rsidRPr="00570840">
        <w:rPr>
          <w:rFonts w:ascii="標楷體" w:eastAsia="標楷體" w:hAnsi="標楷體"/>
          <w:sz w:val="25"/>
          <w:szCs w:val="25"/>
        </w:rPr>
        <w:t>E-mail：</w:t>
      </w:r>
      <w:hyperlink r:id="rId7" w:history="1">
        <w:r w:rsidRPr="00570840">
          <w:rPr>
            <w:rFonts w:ascii="標楷體" w:eastAsia="標楷體" w:hAnsi="標楷體"/>
            <w:sz w:val="25"/>
            <w:szCs w:val="25"/>
          </w:rPr>
          <w:t>crrmjl@dep.pccu.edu.tw</w:t>
        </w:r>
      </w:hyperlink>
      <w:r w:rsidRPr="00570840">
        <w:rPr>
          <w:rFonts w:ascii="標楷體" w:eastAsia="標楷體" w:hAnsi="標楷體"/>
          <w:sz w:val="25"/>
          <w:szCs w:val="25"/>
        </w:rPr>
        <w:t>［事務統括　陳俊安]</w:t>
      </w:r>
    </w:p>
    <w:p w:rsidR="00570840" w:rsidRPr="00570840" w:rsidRDefault="00570840">
      <w:pPr>
        <w:rPr>
          <w:rFonts w:ascii="標楷體" w:eastAsia="標楷體" w:hAnsi="標楷體"/>
          <w:sz w:val="25"/>
          <w:szCs w:val="25"/>
        </w:rPr>
      </w:pPr>
    </w:p>
    <w:p w:rsidR="00570840" w:rsidRPr="00570840" w:rsidRDefault="00570840" w:rsidP="00570840">
      <w:pPr>
        <w:rPr>
          <w:rFonts w:ascii="標楷體" w:eastAsia="標楷體" w:hAnsi="標楷體"/>
        </w:rPr>
      </w:pPr>
    </w:p>
    <w:p w:rsidR="00570840" w:rsidRPr="00570840" w:rsidRDefault="00570840" w:rsidP="00570840">
      <w:pPr>
        <w:rPr>
          <w:rFonts w:ascii="標楷體" w:eastAsia="標楷體" w:hAnsi="標楷體"/>
        </w:rPr>
      </w:pPr>
    </w:p>
    <w:p w:rsidR="00570840" w:rsidRPr="009E2A6C" w:rsidRDefault="00570840" w:rsidP="00570840">
      <w:pPr>
        <w:rPr>
          <w:rFonts w:ascii="標楷體" w:hAnsi="標楷體"/>
        </w:rPr>
      </w:pPr>
    </w:p>
    <w:p w:rsidR="00570840" w:rsidRPr="00570840" w:rsidRDefault="00570840" w:rsidP="00570840">
      <w:pPr>
        <w:rPr>
          <w:rFonts w:ascii="標楷體" w:eastAsia="標楷體" w:hAnsi="標楷體"/>
        </w:rPr>
      </w:pPr>
    </w:p>
    <w:sectPr w:rsidR="00570840" w:rsidRPr="00570840" w:rsidSect="000A74EE">
      <w:pgSz w:w="11906" w:h="16838" w:code="9"/>
      <w:pgMar w:top="1440" w:right="1797" w:bottom="1440" w:left="179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40"/>
    <w:rsid w:val="00081A70"/>
    <w:rsid w:val="000A74EE"/>
    <w:rsid w:val="003C34A8"/>
    <w:rsid w:val="004B3882"/>
    <w:rsid w:val="00570840"/>
    <w:rsid w:val="005A6916"/>
    <w:rsid w:val="009E2A6C"/>
    <w:rsid w:val="00CA1B48"/>
    <w:rsid w:val="00E277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40"/>
    <w:pPr>
      <w:widowControl w:val="0"/>
      <w:jc w:val="both"/>
    </w:pPr>
    <w:rPr>
      <w:rFonts w:ascii="Century" w:eastAsia="MS Mincho" w:hAnsi="Century" w:cs="Times New Roman"/>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A6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A6C"/>
    <w:rPr>
      <w:rFonts w:asciiTheme="majorHAnsi" w:eastAsiaTheme="majorEastAsia" w:hAnsiTheme="majorHAnsi" w:cstheme="majorBid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40"/>
    <w:pPr>
      <w:widowControl w:val="0"/>
      <w:jc w:val="both"/>
    </w:pPr>
    <w:rPr>
      <w:rFonts w:ascii="Century" w:eastAsia="MS Mincho" w:hAnsi="Century" w:cs="Times New Roman"/>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2A6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E2A6C"/>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rrmjl@dep.pcc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6279.msaito@msa.hinet.net" TargetMode="External"/><Relationship Id="rId5" Type="http://schemas.openxmlformats.org/officeDocument/2006/relationships/hyperlink" Target="mailto:mps6279@yahoo.co.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scu</cp:lastModifiedBy>
  <cp:revision>2</cp:revision>
  <cp:lastPrinted>2016-12-05T05:34:00Z</cp:lastPrinted>
  <dcterms:created xsi:type="dcterms:W3CDTF">2016-12-13T02:21:00Z</dcterms:created>
  <dcterms:modified xsi:type="dcterms:W3CDTF">2016-12-13T02:21:00Z</dcterms:modified>
</cp:coreProperties>
</file>